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9F" w:rsidRDefault="0077389F" w:rsidP="0077389F">
      <w:pPr>
        <w:autoSpaceDE w:val="0"/>
        <w:autoSpaceDN w:val="0"/>
        <w:adjustRightInd w:val="0"/>
        <w:jc w:val="center"/>
        <w:rPr>
          <w:rFonts w:ascii="Arial" w:eastAsia="Calibri" w:hAnsi="Arial" w:cs="Arial"/>
          <w:b/>
          <w:bCs/>
          <w:sz w:val="28"/>
          <w:szCs w:val="22"/>
          <w:lang w:val="uk-UA" w:eastAsia="en-US"/>
        </w:rPr>
      </w:pPr>
    </w:p>
    <w:p w:rsidR="0077389F" w:rsidRDefault="0077389F" w:rsidP="0077389F">
      <w:pPr>
        <w:autoSpaceDE w:val="0"/>
        <w:autoSpaceDN w:val="0"/>
        <w:adjustRightInd w:val="0"/>
        <w:jc w:val="center"/>
        <w:rPr>
          <w:rFonts w:ascii="Arial" w:eastAsia="Calibri" w:hAnsi="Arial" w:cs="Arial"/>
          <w:b/>
          <w:bCs/>
          <w:sz w:val="28"/>
          <w:szCs w:val="22"/>
          <w:lang w:val="uk-UA" w:eastAsia="en-US"/>
        </w:rPr>
      </w:pPr>
    </w:p>
    <w:p w:rsidR="0077389F" w:rsidRDefault="0077389F" w:rsidP="0077389F">
      <w:pPr>
        <w:autoSpaceDE w:val="0"/>
        <w:autoSpaceDN w:val="0"/>
        <w:adjustRightInd w:val="0"/>
        <w:jc w:val="center"/>
        <w:rPr>
          <w:rFonts w:ascii="Arial" w:eastAsia="Calibri" w:hAnsi="Arial" w:cs="Arial"/>
          <w:b/>
          <w:bCs/>
          <w:sz w:val="28"/>
          <w:szCs w:val="22"/>
          <w:lang w:val="uk-UA" w:eastAsia="en-US"/>
        </w:rPr>
      </w:pPr>
    </w:p>
    <w:p w:rsidR="0077389F" w:rsidRDefault="0077389F" w:rsidP="0077389F">
      <w:pPr>
        <w:autoSpaceDE w:val="0"/>
        <w:autoSpaceDN w:val="0"/>
        <w:adjustRightInd w:val="0"/>
        <w:jc w:val="center"/>
        <w:rPr>
          <w:rFonts w:ascii="Arial" w:eastAsia="Calibri" w:hAnsi="Arial" w:cs="Arial"/>
          <w:b/>
          <w:bCs/>
          <w:sz w:val="28"/>
          <w:szCs w:val="22"/>
          <w:lang w:val="uk-UA" w:eastAsia="en-US"/>
        </w:rPr>
      </w:pPr>
    </w:p>
    <w:p w:rsidR="0077389F" w:rsidRPr="0077389F" w:rsidRDefault="0077389F" w:rsidP="0077389F">
      <w:pPr>
        <w:autoSpaceDE w:val="0"/>
        <w:autoSpaceDN w:val="0"/>
        <w:adjustRightInd w:val="0"/>
        <w:jc w:val="center"/>
        <w:rPr>
          <w:rFonts w:ascii="Arial" w:eastAsia="Calibri" w:hAnsi="Arial" w:cs="Arial"/>
          <w:b/>
          <w:bCs/>
          <w:sz w:val="28"/>
          <w:szCs w:val="22"/>
          <w:lang w:val="uk-UA" w:eastAsia="en-US"/>
        </w:rPr>
      </w:pPr>
      <w:r w:rsidRPr="0077389F">
        <w:rPr>
          <w:rFonts w:ascii="Arial" w:eastAsia="Calibri" w:hAnsi="Arial" w:cs="Arial"/>
          <w:b/>
          <w:bCs/>
          <w:sz w:val="28"/>
          <w:szCs w:val="22"/>
          <w:lang w:val="uk-UA" w:eastAsia="en-US"/>
        </w:rPr>
        <w:t>ЗВІТ НЕЗАЛЕЖНОГО АУДИТОРА</w:t>
      </w:r>
    </w:p>
    <w:p w:rsidR="0077389F" w:rsidRPr="0077389F" w:rsidRDefault="0077389F" w:rsidP="0077389F">
      <w:pPr>
        <w:jc w:val="center"/>
        <w:rPr>
          <w:rFonts w:ascii="Arial" w:eastAsia="Calibri" w:hAnsi="Arial" w:cs="Arial"/>
          <w:b/>
          <w:i/>
          <w:lang w:val="uk-UA" w:eastAsia="en-US"/>
        </w:rPr>
      </w:pPr>
      <w:r w:rsidRPr="0077389F">
        <w:rPr>
          <w:rFonts w:ascii="Arial" w:eastAsia="Calibri" w:hAnsi="Arial" w:cs="Arial"/>
          <w:b/>
          <w:i/>
          <w:lang w:val="uk-UA" w:eastAsia="en-US"/>
        </w:rPr>
        <w:t>щодо фінансової звітності</w:t>
      </w:r>
    </w:p>
    <w:p w:rsidR="0077389F" w:rsidRPr="0077389F" w:rsidRDefault="0077389F" w:rsidP="0077389F">
      <w:pPr>
        <w:jc w:val="center"/>
        <w:rPr>
          <w:rFonts w:ascii="Arial" w:eastAsia="Calibri" w:hAnsi="Arial" w:cs="Arial"/>
          <w:b/>
          <w:i/>
          <w:lang w:val="uk-UA" w:eastAsia="en-US"/>
        </w:rPr>
      </w:pPr>
    </w:p>
    <w:p w:rsidR="0077389F" w:rsidRPr="0077389F" w:rsidRDefault="0077389F" w:rsidP="0077389F">
      <w:pPr>
        <w:jc w:val="center"/>
        <w:rPr>
          <w:rFonts w:ascii="Arial" w:eastAsia="Calibri" w:hAnsi="Arial" w:cs="Arial"/>
          <w:b/>
          <w:i/>
          <w:szCs w:val="22"/>
          <w:lang w:val="uk-UA" w:eastAsia="en-US"/>
        </w:rPr>
      </w:pPr>
      <w:r w:rsidRPr="0077389F">
        <w:rPr>
          <w:rFonts w:ascii="Arial" w:eastAsia="Calibri" w:hAnsi="Arial" w:cs="Arial"/>
          <w:b/>
          <w:i/>
          <w:szCs w:val="22"/>
          <w:lang w:val="uk-UA" w:eastAsia="en-US"/>
        </w:rPr>
        <w:t>ПРИВАТНОГО АКЦІОНЕРНОГО ТОВАРИСТВА</w:t>
      </w:r>
    </w:p>
    <w:p w:rsidR="0077389F" w:rsidRPr="0077389F" w:rsidRDefault="00B06878" w:rsidP="0077389F">
      <w:pPr>
        <w:jc w:val="center"/>
        <w:rPr>
          <w:rFonts w:ascii="Arial" w:eastAsia="Calibri" w:hAnsi="Arial" w:cs="Arial"/>
          <w:b/>
          <w:i/>
          <w:szCs w:val="22"/>
          <w:lang w:val="uk-UA" w:eastAsia="en-US"/>
        </w:rPr>
      </w:pPr>
      <w:r>
        <w:rPr>
          <w:rFonts w:ascii="Arial" w:eastAsia="Calibri" w:hAnsi="Arial" w:cs="Arial"/>
          <w:b/>
          <w:i/>
          <w:szCs w:val="22"/>
          <w:lang w:val="uk-UA" w:eastAsia="en-US"/>
        </w:rPr>
        <w:t xml:space="preserve"> «Силікат</w:t>
      </w:r>
      <w:r w:rsidR="0077389F" w:rsidRPr="0077389F">
        <w:rPr>
          <w:rFonts w:ascii="Arial" w:eastAsia="Calibri" w:hAnsi="Arial" w:cs="Arial"/>
          <w:b/>
          <w:i/>
          <w:szCs w:val="22"/>
          <w:lang w:val="uk-UA" w:eastAsia="en-US"/>
        </w:rPr>
        <w:t>»</w:t>
      </w:r>
    </w:p>
    <w:p w:rsidR="0077389F" w:rsidRPr="0077389F" w:rsidRDefault="0077389F" w:rsidP="0077389F">
      <w:pPr>
        <w:autoSpaceDE w:val="0"/>
        <w:autoSpaceDN w:val="0"/>
        <w:adjustRightInd w:val="0"/>
        <w:jc w:val="center"/>
        <w:rPr>
          <w:rFonts w:ascii="Arial" w:eastAsia="Calibri" w:hAnsi="Arial" w:cs="Arial"/>
          <w:b/>
          <w:bCs/>
          <w:i/>
          <w:sz w:val="22"/>
          <w:szCs w:val="22"/>
          <w:lang w:val="uk-UA" w:eastAsia="en-US"/>
        </w:rPr>
      </w:pPr>
      <w:r w:rsidRPr="0077389F">
        <w:rPr>
          <w:rFonts w:ascii="Arial" w:eastAsia="Calibri" w:hAnsi="Arial" w:cs="Arial"/>
          <w:b/>
          <w:i/>
          <w:lang w:val="uk-UA" w:eastAsia="en-US"/>
        </w:rPr>
        <w:t xml:space="preserve"> </w:t>
      </w:r>
      <w:r w:rsidRPr="0077389F">
        <w:rPr>
          <w:rFonts w:ascii="Arial" w:eastAsia="Calibri" w:hAnsi="Arial" w:cs="Arial"/>
          <w:b/>
          <w:i/>
          <w:color w:val="000000"/>
          <w:lang w:val="uk-UA" w:eastAsia="en-US"/>
        </w:rPr>
        <w:t>станом на 31.12.2017 року</w:t>
      </w:r>
    </w:p>
    <w:p w:rsidR="0077389F" w:rsidRPr="0077389F" w:rsidRDefault="0077389F" w:rsidP="0077389F">
      <w:pPr>
        <w:autoSpaceDE w:val="0"/>
        <w:autoSpaceDN w:val="0"/>
        <w:adjustRightInd w:val="0"/>
        <w:rPr>
          <w:rFonts w:ascii="Arial" w:eastAsia="Calibri" w:hAnsi="Arial" w:cs="Arial"/>
          <w:sz w:val="22"/>
          <w:szCs w:val="22"/>
          <w:lang w:val="uk-UA" w:eastAsia="en-US"/>
        </w:rPr>
      </w:pPr>
    </w:p>
    <w:p w:rsidR="0077389F" w:rsidRPr="0077389F" w:rsidRDefault="0077389F" w:rsidP="0077389F">
      <w:pPr>
        <w:autoSpaceDE w:val="0"/>
        <w:autoSpaceDN w:val="0"/>
        <w:adjustRightInd w:val="0"/>
        <w:rPr>
          <w:rFonts w:ascii="Arial" w:eastAsia="Calibri" w:hAnsi="Arial" w:cs="Arial"/>
          <w:sz w:val="22"/>
          <w:szCs w:val="22"/>
          <w:lang w:val="uk-UA" w:eastAsia="en-US"/>
        </w:rPr>
      </w:pPr>
    </w:p>
    <w:p w:rsidR="0077389F" w:rsidRPr="0077389F" w:rsidRDefault="0077389F" w:rsidP="0077389F">
      <w:pPr>
        <w:ind w:firstLine="567"/>
        <w:jc w:val="both"/>
        <w:rPr>
          <w:rFonts w:ascii="Arial" w:eastAsia="Calibri" w:hAnsi="Arial" w:cs="Arial"/>
          <w:b/>
          <w:i/>
          <w:sz w:val="22"/>
          <w:szCs w:val="22"/>
          <w:lang w:val="uk-UA" w:eastAsia="en-US"/>
        </w:rPr>
      </w:pPr>
      <w:r w:rsidRPr="0077389F">
        <w:rPr>
          <w:rFonts w:ascii="Arial" w:eastAsia="Calibri" w:hAnsi="Arial" w:cs="Arial"/>
          <w:b/>
          <w:i/>
          <w:sz w:val="22"/>
          <w:szCs w:val="22"/>
          <w:lang w:val="uk-UA" w:eastAsia="en-US"/>
        </w:rPr>
        <w:t>Загальни</w:t>
      </w:r>
      <w:r w:rsidR="001B24DB">
        <w:rPr>
          <w:rFonts w:ascii="Arial" w:eastAsia="Calibri" w:hAnsi="Arial" w:cs="Arial"/>
          <w:b/>
          <w:i/>
          <w:sz w:val="22"/>
          <w:szCs w:val="22"/>
          <w:lang w:val="uk-UA" w:eastAsia="en-US"/>
        </w:rPr>
        <w:t xml:space="preserve">м зборам акціонерів та </w:t>
      </w:r>
      <w:proofErr w:type="spellStart"/>
      <w:r w:rsidR="001B24DB">
        <w:rPr>
          <w:rFonts w:ascii="Arial" w:eastAsia="Calibri" w:hAnsi="Arial" w:cs="Arial"/>
          <w:b/>
          <w:i/>
          <w:sz w:val="22"/>
          <w:szCs w:val="22"/>
          <w:lang w:val="uk-UA" w:eastAsia="en-US"/>
        </w:rPr>
        <w:t>Правліню</w:t>
      </w:r>
      <w:proofErr w:type="spellEnd"/>
      <w:r w:rsidR="001B24DB">
        <w:rPr>
          <w:rFonts w:ascii="Arial" w:eastAsia="Calibri" w:hAnsi="Arial" w:cs="Arial"/>
          <w:b/>
          <w:i/>
          <w:sz w:val="22"/>
          <w:szCs w:val="22"/>
          <w:lang w:val="uk-UA" w:eastAsia="en-US"/>
        </w:rPr>
        <w:t xml:space="preserve"> </w:t>
      </w:r>
      <w:bookmarkStart w:id="0" w:name="_GoBack"/>
      <w:bookmarkEnd w:id="0"/>
      <w:r w:rsidRPr="0077389F">
        <w:rPr>
          <w:rFonts w:ascii="Arial" w:eastAsia="Calibri" w:hAnsi="Arial" w:cs="Arial"/>
          <w:b/>
          <w:i/>
          <w:sz w:val="22"/>
          <w:szCs w:val="22"/>
          <w:lang w:val="uk-UA" w:eastAsia="en-US"/>
        </w:rPr>
        <w:t xml:space="preserve"> </w:t>
      </w:r>
      <w:proofErr w:type="spellStart"/>
      <w:r w:rsidRPr="0077389F">
        <w:rPr>
          <w:rFonts w:ascii="Arial" w:eastAsia="Calibri" w:hAnsi="Arial" w:cs="Arial"/>
          <w:b/>
          <w:i/>
          <w:sz w:val="22"/>
          <w:szCs w:val="22"/>
          <w:lang w:val="uk-UA" w:eastAsia="en-US"/>
        </w:rPr>
        <w:t>ПрАТ</w:t>
      </w:r>
      <w:proofErr w:type="spellEnd"/>
      <w:r w:rsidRPr="0077389F">
        <w:rPr>
          <w:rFonts w:ascii="Arial" w:eastAsia="Calibri" w:hAnsi="Arial" w:cs="Arial"/>
          <w:b/>
          <w:i/>
          <w:sz w:val="22"/>
          <w:szCs w:val="22"/>
          <w:lang w:val="uk-UA" w:eastAsia="en-US"/>
        </w:rPr>
        <w:t xml:space="preserve"> </w:t>
      </w:r>
      <w:r w:rsidR="00B06878">
        <w:rPr>
          <w:rFonts w:ascii="Arial" w:eastAsia="Calibri" w:hAnsi="Arial" w:cs="Arial"/>
          <w:b/>
          <w:i/>
          <w:sz w:val="22"/>
          <w:szCs w:val="22"/>
          <w:lang w:val="uk-UA" w:eastAsia="en-US"/>
        </w:rPr>
        <w:t>«Силікат</w:t>
      </w:r>
      <w:r w:rsidRPr="0077389F">
        <w:rPr>
          <w:rFonts w:ascii="Arial" w:eastAsia="Calibri" w:hAnsi="Arial" w:cs="Arial"/>
          <w:b/>
          <w:i/>
          <w:sz w:val="22"/>
          <w:szCs w:val="22"/>
          <w:lang w:val="uk-UA" w:eastAsia="en-US"/>
        </w:rPr>
        <w:t>»</w:t>
      </w:r>
    </w:p>
    <w:p w:rsidR="0077389F" w:rsidRPr="0077389F" w:rsidRDefault="0077389F" w:rsidP="0077389F">
      <w:pPr>
        <w:ind w:firstLine="567"/>
        <w:jc w:val="both"/>
        <w:rPr>
          <w:rFonts w:ascii="Arial" w:eastAsia="Calibri" w:hAnsi="Arial" w:cs="Arial"/>
          <w:b/>
          <w:i/>
          <w:sz w:val="22"/>
          <w:szCs w:val="22"/>
          <w:lang w:val="uk-UA" w:eastAsia="en-US"/>
        </w:rPr>
      </w:pPr>
      <w:r w:rsidRPr="0077389F">
        <w:rPr>
          <w:rFonts w:ascii="Arial" w:eastAsia="Calibri" w:hAnsi="Arial" w:cs="Arial"/>
          <w:b/>
          <w:i/>
          <w:sz w:val="22"/>
          <w:szCs w:val="22"/>
          <w:lang w:val="uk-UA" w:eastAsia="en-US"/>
        </w:rPr>
        <w:t>Національній комісії з цінних паперів та фондового ринку</w:t>
      </w:r>
    </w:p>
    <w:p w:rsidR="0077389F" w:rsidRPr="0077389F" w:rsidRDefault="0077389F" w:rsidP="0077389F">
      <w:pPr>
        <w:autoSpaceDE w:val="0"/>
        <w:autoSpaceDN w:val="0"/>
        <w:adjustRightInd w:val="0"/>
        <w:rPr>
          <w:rFonts w:ascii="Arial" w:eastAsia="Calibri" w:hAnsi="Arial" w:cs="Arial"/>
          <w:sz w:val="22"/>
          <w:szCs w:val="22"/>
          <w:lang w:val="uk-UA" w:eastAsia="en-US"/>
        </w:rPr>
      </w:pPr>
    </w:p>
    <w:p w:rsidR="0077389F" w:rsidRPr="0077389F" w:rsidRDefault="0077389F" w:rsidP="0077389F">
      <w:pPr>
        <w:autoSpaceDE w:val="0"/>
        <w:autoSpaceDN w:val="0"/>
        <w:adjustRightInd w:val="0"/>
        <w:rPr>
          <w:rFonts w:ascii="Arial" w:eastAsia="Calibri" w:hAnsi="Arial" w:cs="Arial"/>
          <w:sz w:val="22"/>
          <w:szCs w:val="22"/>
          <w:lang w:val="uk-UA" w:eastAsia="en-US"/>
        </w:rPr>
      </w:pPr>
    </w:p>
    <w:p w:rsidR="0077389F" w:rsidRPr="0077389F" w:rsidRDefault="0077389F" w:rsidP="0077389F">
      <w:pPr>
        <w:tabs>
          <w:tab w:val="left" w:pos="851"/>
        </w:tabs>
        <w:autoSpaceDE w:val="0"/>
        <w:autoSpaceDN w:val="0"/>
        <w:adjustRightInd w:val="0"/>
        <w:spacing w:after="120"/>
        <w:ind w:firstLine="709"/>
        <w:rPr>
          <w:rFonts w:ascii="Arial" w:eastAsia="Calibri" w:hAnsi="Arial" w:cs="Arial"/>
          <w:b/>
          <w:bCs/>
          <w:sz w:val="22"/>
          <w:szCs w:val="22"/>
          <w:lang w:val="uk-UA" w:eastAsia="en-US"/>
        </w:rPr>
      </w:pPr>
      <w:r w:rsidRPr="0077389F">
        <w:rPr>
          <w:rFonts w:ascii="Arial" w:eastAsia="Calibri" w:hAnsi="Arial" w:cs="Arial"/>
          <w:b/>
          <w:bCs/>
          <w:sz w:val="22"/>
          <w:szCs w:val="22"/>
          <w:lang w:val="uk-UA" w:eastAsia="en-US"/>
        </w:rPr>
        <w:t>Думка</w:t>
      </w:r>
    </w:p>
    <w:p w:rsidR="0077389F" w:rsidRPr="0077389F" w:rsidRDefault="0077389F" w:rsidP="0077389F">
      <w:pPr>
        <w:tabs>
          <w:tab w:val="left" w:pos="851"/>
        </w:tabs>
        <w:autoSpaceDE w:val="0"/>
        <w:autoSpaceDN w:val="0"/>
        <w:adjustRightInd w:val="0"/>
        <w:spacing w:before="120"/>
        <w:ind w:firstLine="709"/>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Ми провели аудит річної фінансової звітності Приватного акці</w:t>
      </w:r>
      <w:r w:rsidR="00B35CE1">
        <w:rPr>
          <w:rFonts w:ascii="Arial" w:eastAsia="Calibri" w:hAnsi="Arial" w:cs="Arial"/>
          <w:sz w:val="22"/>
          <w:szCs w:val="22"/>
          <w:lang w:val="uk-UA" w:eastAsia="en-US"/>
        </w:rPr>
        <w:t>онерного т</w:t>
      </w:r>
      <w:r w:rsidR="00B06878">
        <w:rPr>
          <w:rFonts w:ascii="Arial" w:eastAsia="Calibri" w:hAnsi="Arial" w:cs="Arial"/>
          <w:sz w:val="22"/>
          <w:szCs w:val="22"/>
          <w:lang w:val="uk-UA" w:eastAsia="en-US"/>
        </w:rPr>
        <w:t>овариства «Силікат</w:t>
      </w:r>
      <w:r w:rsidRPr="0077389F">
        <w:rPr>
          <w:rFonts w:ascii="Arial" w:eastAsia="Calibri" w:hAnsi="Arial" w:cs="Arial"/>
          <w:sz w:val="22"/>
          <w:szCs w:val="22"/>
          <w:lang w:val="uk-UA" w:eastAsia="en-US"/>
        </w:rPr>
        <w:t>» (надалі - Товариство), що складається із фінансового звіту суб’єкта малого підприємництва за 2017 звітний рік.</w:t>
      </w:r>
    </w:p>
    <w:p w:rsidR="0077389F" w:rsidRPr="0077389F" w:rsidRDefault="0077389F" w:rsidP="0077389F">
      <w:pPr>
        <w:autoSpaceDE w:val="0"/>
        <w:autoSpaceDN w:val="0"/>
        <w:adjustRightInd w:val="0"/>
        <w:spacing w:before="120"/>
        <w:ind w:firstLine="709"/>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На нашу думку, фінансова звітність Товариства, що додається, складена в усіх суттєвих аспектах відповідно до Національних положень стандартів бухгалтерського обліку (НПСБО).</w:t>
      </w:r>
    </w:p>
    <w:p w:rsidR="0077389F" w:rsidRPr="0077389F" w:rsidRDefault="0077389F" w:rsidP="0077389F">
      <w:pPr>
        <w:tabs>
          <w:tab w:val="left" w:pos="851"/>
        </w:tabs>
        <w:autoSpaceDE w:val="0"/>
        <w:autoSpaceDN w:val="0"/>
        <w:adjustRightInd w:val="0"/>
        <w:spacing w:before="240" w:after="120"/>
        <w:ind w:firstLine="709"/>
        <w:rPr>
          <w:rFonts w:ascii="Arial" w:eastAsia="Calibri" w:hAnsi="Arial" w:cs="Arial"/>
          <w:b/>
          <w:bCs/>
          <w:sz w:val="22"/>
          <w:szCs w:val="22"/>
          <w:lang w:val="uk-UA" w:eastAsia="en-US"/>
        </w:rPr>
      </w:pPr>
      <w:r w:rsidRPr="0077389F">
        <w:rPr>
          <w:rFonts w:ascii="Arial" w:eastAsia="Calibri" w:hAnsi="Arial" w:cs="Arial"/>
          <w:b/>
          <w:bCs/>
          <w:sz w:val="22"/>
          <w:szCs w:val="22"/>
          <w:lang w:val="uk-UA" w:eastAsia="en-US"/>
        </w:rPr>
        <w:t>Основа для думки</w:t>
      </w:r>
    </w:p>
    <w:p w:rsidR="0077389F" w:rsidRPr="0077389F" w:rsidRDefault="0077389F" w:rsidP="0077389F">
      <w:pPr>
        <w:tabs>
          <w:tab w:val="left" w:pos="851"/>
        </w:tabs>
        <w:autoSpaceDE w:val="0"/>
        <w:autoSpaceDN w:val="0"/>
        <w:adjustRightInd w:val="0"/>
        <w:spacing w:before="120"/>
        <w:ind w:firstLine="709"/>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w:t>
      </w:r>
      <w:r w:rsidRPr="0077389F">
        <w:rPr>
          <w:rFonts w:ascii="Arial" w:eastAsia="Calibri" w:hAnsi="Arial" w:cs="Arial"/>
          <w:i/>
          <w:iCs/>
          <w:sz w:val="22"/>
          <w:szCs w:val="22"/>
          <w:lang w:val="uk-UA" w:eastAsia="en-US"/>
        </w:rPr>
        <w:t xml:space="preserve">Кодексом етики професійних бухгалтерів </w:t>
      </w:r>
      <w:r w:rsidRPr="0077389F">
        <w:rPr>
          <w:rFonts w:ascii="Arial" w:eastAsia="Calibri" w:hAnsi="Arial" w:cs="Arial"/>
          <w:sz w:val="22"/>
          <w:szCs w:val="22"/>
          <w:lang w:val="uk-UA" w:eastAsia="en-US"/>
        </w:rPr>
        <w:t>Ради з Міжнародних стандартів етики для бухгалтерів (</w:t>
      </w:r>
      <w:r w:rsidRPr="0077389F">
        <w:rPr>
          <w:rFonts w:ascii="Arial" w:eastAsia="Calibri" w:hAnsi="Arial" w:cs="Arial"/>
          <w:i/>
          <w:iCs/>
          <w:sz w:val="22"/>
          <w:szCs w:val="22"/>
          <w:lang w:val="uk-UA" w:eastAsia="en-US"/>
        </w:rPr>
        <w:t>Кодекс РМСЕБ</w:t>
      </w:r>
      <w:r w:rsidRPr="0077389F">
        <w:rPr>
          <w:rFonts w:ascii="Arial" w:eastAsia="Calibri" w:hAnsi="Arial" w:cs="Arial"/>
          <w:sz w:val="22"/>
          <w:szCs w:val="22"/>
          <w:lang w:val="uk-UA" w:eastAsia="en-US"/>
        </w:rPr>
        <w:t>) та виконали інші обов’язки з етики відповідно до Кодексу РМСЕБ. Ми вважаємо, що отримані нами аудиторські докази є достатніми і прийнятними для використання їх як основи для нашої думки.</w:t>
      </w:r>
    </w:p>
    <w:p w:rsidR="001B24DB" w:rsidRPr="001B24DB" w:rsidRDefault="001B24DB" w:rsidP="001B24DB">
      <w:pPr>
        <w:tabs>
          <w:tab w:val="left" w:pos="851"/>
        </w:tabs>
        <w:autoSpaceDE w:val="0"/>
        <w:autoSpaceDN w:val="0"/>
        <w:adjustRightInd w:val="0"/>
        <w:spacing w:before="240" w:after="120"/>
        <w:ind w:firstLine="709"/>
        <w:jc w:val="both"/>
        <w:rPr>
          <w:rFonts w:ascii="Arial" w:eastAsia="Calibri" w:hAnsi="Arial" w:cs="Arial"/>
          <w:b/>
          <w:bCs/>
          <w:sz w:val="22"/>
          <w:szCs w:val="22"/>
          <w:lang w:val="uk-UA" w:eastAsia="en-US"/>
        </w:rPr>
      </w:pPr>
      <w:r w:rsidRPr="001B24DB">
        <w:rPr>
          <w:rFonts w:ascii="Arial" w:eastAsia="Calibri" w:hAnsi="Arial" w:cs="Arial"/>
          <w:b/>
          <w:bCs/>
          <w:sz w:val="22"/>
          <w:szCs w:val="22"/>
          <w:lang w:val="uk-UA" w:eastAsia="en-US"/>
        </w:rPr>
        <w:t>Інша інформація</w:t>
      </w:r>
    </w:p>
    <w:p w:rsidR="001B24DB" w:rsidRPr="001B24DB" w:rsidRDefault="001B24DB" w:rsidP="001B24DB">
      <w:pPr>
        <w:tabs>
          <w:tab w:val="left" w:pos="851"/>
        </w:tabs>
        <w:autoSpaceDE w:val="0"/>
        <w:autoSpaceDN w:val="0"/>
        <w:adjustRightInd w:val="0"/>
        <w:spacing w:before="60"/>
        <w:ind w:firstLine="709"/>
        <w:jc w:val="both"/>
        <w:rPr>
          <w:rFonts w:ascii="Arial" w:eastAsia="Calibri" w:hAnsi="Arial" w:cs="Arial"/>
          <w:bCs/>
          <w:sz w:val="22"/>
          <w:szCs w:val="22"/>
          <w:lang w:val="uk-UA" w:eastAsia="en-US"/>
        </w:rPr>
      </w:pPr>
      <w:r w:rsidRPr="001B24DB">
        <w:rPr>
          <w:rFonts w:ascii="Arial" w:hAnsi="Arial" w:cs="Arial"/>
          <w:sz w:val="22"/>
          <w:szCs w:val="22"/>
          <w:lang w:val="uk-UA"/>
        </w:rPr>
        <w:t>Управлінський персонал несе відповідальність за іншу інформацію. Інша інформація складається з інформації, яка міститься в Річній інформації емітента цінних паперів, але не є фінансовою звітністю та нашим звітом аудитора щодо неї. 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зазначеною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проведених нами процедур, ми доходимо висновку, що існує суттєве викривлення цієї іншої інформації, ми зобов’язані повідомити про цей факт. Ми не виявили таких фактів, які потрібно було б включити до звіту.</w:t>
      </w:r>
    </w:p>
    <w:p w:rsidR="001B24DB" w:rsidRDefault="001B24DB" w:rsidP="0077389F">
      <w:pPr>
        <w:tabs>
          <w:tab w:val="left" w:pos="851"/>
        </w:tabs>
        <w:autoSpaceDE w:val="0"/>
        <w:autoSpaceDN w:val="0"/>
        <w:adjustRightInd w:val="0"/>
        <w:spacing w:before="240" w:after="120"/>
        <w:ind w:firstLine="709"/>
        <w:rPr>
          <w:rFonts w:ascii="Arial" w:eastAsia="Calibri" w:hAnsi="Arial" w:cs="Arial"/>
          <w:b/>
          <w:bCs/>
          <w:sz w:val="22"/>
          <w:szCs w:val="22"/>
          <w:lang w:val="uk-UA" w:eastAsia="en-US"/>
        </w:rPr>
      </w:pPr>
    </w:p>
    <w:p w:rsidR="0077389F" w:rsidRPr="0077389F" w:rsidRDefault="0077389F" w:rsidP="0077389F">
      <w:pPr>
        <w:tabs>
          <w:tab w:val="left" w:pos="851"/>
        </w:tabs>
        <w:autoSpaceDE w:val="0"/>
        <w:autoSpaceDN w:val="0"/>
        <w:adjustRightInd w:val="0"/>
        <w:spacing w:before="240" w:after="120"/>
        <w:ind w:firstLine="709"/>
        <w:rPr>
          <w:rFonts w:ascii="Arial" w:eastAsia="Calibri" w:hAnsi="Arial" w:cs="Arial"/>
          <w:sz w:val="22"/>
          <w:szCs w:val="22"/>
          <w:lang w:val="uk-UA" w:eastAsia="en-US"/>
        </w:rPr>
      </w:pPr>
      <w:r w:rsidRPr="0077389F">
        <w:rPr>
          <w:rFonts w:ascii="Arial" w:eastAsia="Calibri" w:hAnsi="Arial" w:cs="Arial"/>
          <w:b/>
          <w:bCs/>
          <w:sz w:val="22"/>
          <w:szCs w:val="22"/>
          <w:lang w:val="uk-UA" w:eastAsia="en-US"/>
        </w:rPr>
        <w:lastRenderedPageBreak/>
        <w:t>Відповідальність управлінського персоналу та тих, кого наділено найвищими повноваженнями, за фінансову звітність</w:t>
      </w:r>
    </w:p>
    <w:p w:rsidR="0077389F" w:rsidRPr="0077389F" w:rsidRDefault="0077389F" w:rsidP="0077389F">
      <w:pPr>
        <w:tabs>
          <w:tab w:val="left" w:pos="851"/>
        </w:tabs>
        <w:autoSpaceDE w:val="0"/>
        <w:autoSpaceDN w:val="0"/>
        <w:adjustRightInd w:val="0"/>
        <w:spacing w:before="120"/>
        <w:ind w:firstLine="709"/>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Управлінський персонал несе відповідальність за складання і достовірне подання фінансової звітності відповідно до НПСБО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77389F" w:rsidRPr="0077389F" w:rsidRDefault="0077389F" w:rsidP="0077389F">
      <w:pPr>
        <w:tabs>
          <w:tab w:val="left" w:pos="851"/>
        </w:tabs>
        <w:autoSpaceDE w:val="0"/>
        <w:autoSpaceDN w:val="0"/>
        <w:adjustRightInd w:val="0"/>
        <w:spacing w:before="120"/>
        <w:ind w:firstLine="709"/>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w:t>
      </w:r>
      <w:proofErr w:type="spellStart"/>
      <w:r w:rsidRPr="0077389F">
        <w:rPr>
          <w:rFonts w:ascii="Arial" w:eastAsia="Calibri" w:hAnsi="Arial" w:cs="Arial"/>
          <w:sz w:val="22"/>
          <w:szCs w:val="22"/>
          <w:lang w:val="uk-UA" w:eastAsia="en-US"/>
        </w:rPr>
        <w:t>застосовно</w:t>
      </w:r>
      <w:proofErr w:type="spellEnd"/>
      <w:r w:rsidRPr="0077389F">
        <w:rPr>
          <w:rFonts w:ascii="Arial" w:eastAsia="Calibri" w:hAnsi="Arial" w:cs="Arial"/>
          <w:sz w:val="22"/>
          <w:szCs w:val="22"/>
          <w:lang w:val="uk-UA" w:eastAsia="en-US"/>
        </w:rPr>
        <w:t>,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w:t>
      </w:r>
    </w:p>
    <w:p w:rsidR="0077389F" w:rsidRPr="0077389F" w:rsidRDefault="0077389F" w:rsidP="0077389F">
      <w:pPr>
        <w:tabs>
          <w:tab w:val="left" w:pos="851"/>
        </w:tabs>
        <w:autoSpaceDE w:val="0"/>
        <w:autoSpaceDN w:val="0"/>
        <w:adjustRightInd w:val="0"/>
        <w:spacing w:before="120"/>
        <w:ind w:firstLine="709"/>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Ті, кого наділено найвищими повноваженнями, несуть відповідальність за нагляд за процесом фінансового звітування Товариства.</w:t>
      </w:r>
    </w:p>
    <w:p w:rsidR="0077389F" w:rsidRPr="0077389F" w:rsidRDefault="0077389F" w:rsidP="0077389F">
      <w:pPr>
        <w:tabs>
          <w:tab w:val="left" w:pos="851"/>
        </w:tabs>
        <w:autoSpaceDE w:val="0"/>
        <w:autoSpaceDN w:val="0"/>
        <w:adjustRightInd w:val="0"/>
        <w:spacing w:before="240" w:after="120"/>
        <w:ind w:firstLine="709"/>
        <w:rPr>
          <w:rFonts w:ascii="Arial" w:eastAsia="Calibri" w:hAnsi="Arial" w:cs="Arial"/>
          <w:b/>
          <w:bCs/>
          <w:sz w:val="22"/>
          <w:szCs w:val="22"/>
          <w:lang w:val="uk-UA" w:eastAsia="en-US"/>
        </w:rPr>
      </w:pPr>
      <w:r w:rsidRPr="0077389F">
        <w:rPr>
          <w:rFonts w:ascii="Arial" w:eastAsia="Calibri" w:hAnsi="Arial" w:cs="Arial"/>
          <w:b/>
          <w:bCs/>
          <w:sz w:val="22"/>
          <w:szCs w:val="22"/>
          <w:lang w:val="uk-UA" w:eastAsia="en-US"/>
        </w:rPr>
        <w:t>Відповідальність аудитора за аудит фінансової звітності</w:t>
      </w:r>
    </w:p>
    <w:p w:rsidR="0077389F" w:rsidRPr="0077389F" w:rsidRDefault="0077389F" w:rsidP="0077389F">
      <w:pPr>
        <w:tabs>
          <w:tab w:val="left" w:pos="851"/>
        </w:tabs>
        <w:autoSpaceDE w:val="0"/>
        <w:autoSpaceDN w:val="0"/>
        <w:adjustRightInd w:val="0"/>
        <w:spacing w:before="120"/>
        <w:ind w:firstLine="709"/>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який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77389F" w:rsidRPr="0077389F" w:rsidRDefault="0077389F" w:rsidP="0077389F">
      <w:pPr>
        <w:tabs>
          <w:tab w:val="left" w:pos="851"/>
        </w:tabs>
        <w:autoSpaceDE w:val="0"/>
        <w:autoSpaceDN w:val="0"/>
        <w:adjustRightInd w:val="0"/>
        <w:spacing w:before="120"/>
        <w:ind w:firstLine="709"/>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77389F" w:rsidRPr="0077389F" w:rsidRDefault="0077389F" w:rsidP="0077389F">
      <w:pPr>
        <w:numPr>
          <w:ilvl w:val="0"/>
          <w:numId w:val="3"/>
        </w:numPr>
        <w:tabs>
          <w:tab w:val="left" w:pos="851"/>
        </w:tabs>
        <w:autoSpaceDE w:val="0"/>
        <w:autoSpaceDN w:val="0"/>
        <w:adjustRightInd w:val="0"/>
        <w:spacing w:before="120" w:after="200" w:line="276" w:lineRule="auto"/>
        <w:ind w:firstLine="709"/>
        <w:contextualSpacing/>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 xml:space="preserve">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sidRPr="0077389F">
        <w:rPr>
          <w:rFonts w:ascii="Arial" w:eastAsia="Calibri" w:hAnsi="Arial" w:cs="Arial"/>
          <w:sz w:val="22"/>
          <w:szCs w:val="22"/>
          <w:lang w:val="uk-UA" w:eastAsia="en-US"/>
        </w:rPr>
        <w:t>невиявлення</w:t>
      </w:r>
      <w:proofErr w:type="spellEnd"/>
      <w:r w:rsidRPr="0077389F">
        <w:rPr>
          <w:rFonts w:ascii="Arial" w:eastAsia="Calibri" w:hAnsi="Arial" w:cs="Arial"/>
          <w:sz w:val="22"/>
          <w:szCs w:val="22"/>
          <w:lang w:val="uk-UA" w:eastAsia="en-US"/>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77389F" w:rsidRPr="0077389F" w:rsidRDefault="0077389F" w:rsidP="0077389F">
      <w:pPr>
        <w:numPr>
          <w:ilvl w:val="0"/>
          <w:numId w:val="3"/>
        </w:numPr>
        <w:tabs>
          <w:tab w:val="left" w:pos="851"/>
        </w:tabs>
        <w:autoSpaceDE w:val="0"/>
        <w:autoSpaceDN w:val="0"/>
        <w:adjustRightInd w:val="0"/>
        <w:spacing w:before="120" w:after="200" w:line="276" w:lineRule="auto"/>
        <w:ind w:firstLine="709"/>
        <w:contextualSpacing/>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77389F" w:rsidRPr="0077389F" w:rsidRDefault="0077389F" w:rsidP="0077389F">
      <w:pPr>
        <w:numPr>
          <w:ilvl w:val="0"/>
          <w:numId w:val="3"/>
        </w:numPr>
        <w:tabs>
          <w:tab w:val="left" w:pos="851"/>
        </w:tabs>
        <w:autoSpaceDE w:val="0"/>
        <w:autoSpaceDN w:val="0"/>
        <w:adjustRightInd w:val="0"/>
        <w:spacing w:before="120" w:after="200" w:line="276" w:lineRule="auto"/>
        <w:ind w:firstLine="709"/>
        <w:contextualSpacing/>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77389F" w:rsidRPr="0077389F" w:rsidRDefault="0077389F" w:rsidP="0077389F">
      <w:pPr>
        <w:numPr>
          <w:ilvl w:val="0"/>
          <w:numId w:val="3"/>
        </w:numPr>
        <w:tabs>
          <w:tab w:val="left" w:pos="851"/>
        </w:tabs>
        <w:autoSpaceDE w:val="0"/>
        <w:autoSpaceDN w:val="0"/>
        <w:adjustRightInd w:val="0"/>
        <w:spacing w:before="120" w:after="200" w:line="276" w:lineRule="auto"/>
        <w:ind w:firstLine="709"/>
        <w:contextualSpacing/>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77389F" w:rsidRPr="0077389F" w:rsidRDefault="0077389F" w:rsidP="0077389F">
      <w:pPr>
        <w:tabs>
          <w:tab w:val="left" w:pos="851"/>
        </w:tabs>
        <w:autoSpaceDE w:val="0"/>
        <w:autoSpaceDN w:val="0"/>
        <w:adjustRightInd w:val="0"/>
        <w:spacing w:before="120"/>
        <w:ind w:firstLine="709"/>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значні недоліки системи внутрішнього контролю, виявлені нами під час аудиту.</w:t>
      </w:r>
    </w:p>
    <w:p w:rsidR="0077389F" w:rsidRPr="0077389F" w:rsidRDefault="0077389F" w:rsidP="0077389F">
      <w:pPr>
        <w:tabs>
          <w:tab w:val="left" w:pos="851"/>
        </w:tabs>
        <w:autoSpaceDE w:val="0"/>
        <w:autoSpaceDN w:val="0"/>
        <w:adjustRightInd w:val="0"/>
        <w:spacing w:before="120"/>
        <w:ind w:firstLine="709"/>
        <w:jc w:val="both"/>
        <w:rPr>
          <w:rFonts w:ascii="Arial" w:eastAsia="Calibri" w:hAnsi="Arial" w:cs="Arial"/>
          <w:sz w:val="22"/>
          <w:szCs w:val="22"/>
          <w:lang w:val="uk-UA" w:eastAsia="en-US"/>
        </w:rPr>
      </w:pPr>
      <w:r w:rsidRPr="0077389F">
        <w:rPr>
          <w:rFonts w:ascii="Arial" w:eastAsia="Calibri" w:hAnsi="Arial" w:cs="Arial"/>
          <w:sz w:val="22"/>
          <w:szCs w:val="22"/>
          <w:lang w:val="uk-UA" w:eastAsia="en-US"/>
        </w:rPr>
        <w:lastRenderedPageBreak/>
        <w:t xml:space="preserve">Ми також надаємо тим, кого наділено найвищими повноваженнями, твердження, що ми виконали доречні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w:t>
      </w:r>
      <w:proofErr w:type="spellStart"/>
      <w:r w:rsidRPr="0077389F">
        <w:rPr>
          <w:rFonts w:ascii="Arial" w:eastAsia="Calibri" w:hAnsi="Arial" w:cs="Arial"/>
          <w:sz w:val="22"/>
          <w:szCs w:val="22"/>
          <w:lang w:val="uk-UA" w:eastAsia="en-US"/>
        </w:rPr>
        <w:t>застосовно</w:t>
      </w:r>
      <w:proofErr w:type="spellEnd"/>
      <w:r w:rsidRPr="0077389F">
        <w:rPr>
          <w:rFonts w:ascii="Arial" w:eastAsia="Calibri" w:hAnsi="Arial" w:cs="Arial"/>
          <w:sz w:val="22"/>
          <w:szCs w:val="22"/>
          <w:lang w:val="uk-UA" w:eastAsia="en-US"/>
        </w:rPr>
        <w:t>, щодо відповідних застережних заходів.</w:t>
      </w:r>
    </w:p>
    <w:p w:rsidR="0077389F" w:rsidRPr="0077389F" w:rsidRDefault="0077389F" w:rsidP="0077389F">
      <w:pPr>
        <w:autoSpaceDE w:val="0"/>
        <w:autoSpaceDN w:val="0"/>
        <w:adjustRightInd w:val="0"/>
        <w:jc w:val="both"/>
        <w:rPr>
          <w:rFonts w:ascii="Arial" w:eastAsia="Calibri" w:hAnsi="Arial" w:cs="Arial"/>
          <w:sz w:val="22"/>
          <w:szCs w:val="22"/>
          <w:lang w:val="uk-UA" w:eastAsia="en-US"/>
        </w:rPr>
      </w:pPr>
    </w:p>
    <w:p w:rsidR="0077389F" w:rsidRPr="0077389F" w:rsidRDefault="0077389F" w:rsidP="0077389F">
      <w:pPr>
        <w:widowControl w:val="0"/>
        <w:tabs>
          <w:tab w:val="left" w:pos="900"/>
        </w:tabs>
        <w:autoSpaceDE w:val="0"/>
        <w:autoSpaceDN w:val="0"/>
        <w:spacing w:before="120"/>
        <w:jc w:val="both"/>
        <w:rPr>
          <w:rFonts w:ascii="Arial" w:hAnsi="Arial" w:cs="Arial"/>
          <w:bCs/>
          <w:iCs/>
          <w:sz w:val="22"/>
          <w:szCs w:val="22"/>
          <w:lang w:val="uk-UA"/>
        </w:rPr>
      </w:pPr>
    </w:p>
    <w:p w:rsidR="0077389F" w:rsidRPr="0077389F" w:rsidRDefault="0077389F" w:rsidP="0077389F">
      <w:pPr>
        <w:ind w:left="567"/>
        <w:jc w:val="both"/>
        <w:rPr>
          <w:rFonts w:ascii="Arial" w:eastAsia="Calibri" w:hAnsi="Arial" w:cs="Arial"/>
          <w:b/>
          <w:bCs/>
          <w:iCs/>
          <w:sz w:val="22"/>
          <w:szCs w:val="22"/>
          <w:lang w:val="uk-UA" w:eastAsia="en-US"/>
        </w:rPr>
      </w:pPr>
      <w:r w:rsidRPr="0077389F">
        <w:rPr>
          <w:rFonts w:ascii="Arial" w:eastAsia="Calibri" w:hAnsi="Arial" w:cs="Arial"/>
          <w:b/>
          <w:bCs/>
          <w:iCs/>
          <w:sz w:val="22"/>
          <w:szCs w:val="22"/>
          <w:lang w:val="uk-UA" w:eastAsia="en-US"/>
        </w:rPr>
        <w:t>Аудитор</w:t>
      </w:r>
      <w:r w:rsidRPr="0077389F">
        <w:rPr>
          <w:rFonts w:ascii="Arial" w:eastAsia="Calibri" w:hAnsi="Arial" w:cs="Arial"/>
          <w:b/>
          <w:bCs/>
          <w:iCs/>
          <w:sz w:val="22"/>
          <w:szCs w:val="22"/>
          <w:lang w:val="uk-UA" w:eastAsia="en-US"/>
        </w:rPr>
        <w:tab/>
      </w:r>
      <w:r w:rsidRPr="0077389F">
        <w:rPr>
          <w:rFonts w:ascii="Arial" w:eastAsia="Calibri" w:hAnsi="Arial" w:cs="Arial"/>
          <w:b/>
          <w:bCs/>
          <w:iCs/>
          <w:sz w:val="22"/>
          <w:szCs w:val="22"/>
          <w:lang w:val="uk-UA" w:eastAsia="en-US"/>
        </w:rPr>
        <w:tab/>
      </w:r>
      <w:r w:rsidRPr="0077389F">
        <w:rPr>
          <w:rFonts w:ascii="Arial" w:eastAsia="Calibri" w:hAnsi="Arial" w:cs="Arial"/>
          <w:b/>
          <w:bCs/>
          <w:iCs/>
          <w:sz w:val="22"/>
          <w:szCs w:val="22"/>
          <w:lang w:val="uk-UA" w:eastAsia="en-US"/>
        </w:rPr>
        <w:tab/>
      </w:r>
      <w:r w:rsidRPr="0077389F">
        <w:rPr>
          <w:rFonts w:ascii="Arial" w:eastAsia="Calibri" w:hAnsi="Arial" w:cs="Arial"/>
          <w:b/>
          <w:bCs/>
          <w:iCs/>
          <w:sz w:val="22"/>
          <w:szCs w:val="22"/>
          <w:lang w:val="uk-UA" w:eastAsia="en-US"/>
        </w:rPr>
        <w:tab/>
      </w:r>
      <w:r w:rsidRPr="0077389F">
        <w:rPr>
          <w:rFonts w:ascii="Arial" w:eastAsia="Calibri" w:hAnsi="Arial" w:cs="Arial"/>
          <w:b/>
          <w:bCs/>
          <w:iCs/>
          <w:sz w:val="22"/>
          <w:szCs w:val="22"/>
          <w:lang w:val="uk-UA" w:eastAsia="en-US"/>
        </w:rPr>
        <w:tab/>
      </w:r>
      <w:r w:rsidRPr="0077389F">
        <w:rPr>
          <w:rFonts w:ascii="Arial" w:eastAsia="Calibri" w:hAnsi="Arial" w:cs="Arial"/>
          <w:b/>
          <w:bCs/>
          <w:iCs/>
          <w:sz w:val="22"/>
          <w:szCs w:val="22"/>
          <w:lang w:val="uk-UA" w:eastAsia="en-US"/>
        </w:rPr>
        <w:tab/>
      </w:r>
      <w:r w:rsidRPr="0077389F">
        <w:rPr>
          <w:rFonts w:ascii="Arial" w:eastAsia="Calibri" w:hAnsi="Arial" w:cs="Arial"/>
          <w:b/>
          <w:bCs/>
          <w:iCs/>
          <w:sz w:val="22"/>
          <w:szCs w:val="22"/>
          <w:lang w:val="uk-UA" w:eastAsia="en-US"/>
        </w:rPr>
        <w:tab/>
      </w:r>
      <w:r w:rsidRPr="0077389F">
        <w:rPr>
          <w:rFonts w:ascii="Arial" w:eastAsia="Calibri" w:hAnsi="Arial" w:cs="Arial"/>
          <w:b/>
          <w:bCs/>
          <w:iCs/>
          <w:sz w:val="22"/>
          <w:szCs w:val="22"/>
          <w:lang w:val="uk-UA" w:eastAsia="en-US"/>
        </w:rPr>
        <w:tab/>
        <w:t xml:space="preserve">В.К. Орлова </w:t>
      </w:r>
    </w:p>
    <w:p w:rsidR="0077389F" w:rsidRPr="0077389F" w:rsidRDefault="0077389F" w:rsidP="0077389F">
      <w:pPr>
        <w:widowControl w:val="0"/>
        <w:tabs>
          <w:tab w:val="left" w:pos="708"/>
          <w:tab w:val="center" w:pos="4819"/>
          <w:tab w:val="right" w:pos="9639"/>
        </w:tabs>
        <w:autoSpaceDE w:val="0"/>
        <w:autoSpaceDN w:val="0"/>
        <w:ind w:left="567"/>
        <w:jc w:val="both"/>
        <w:rPr>
          <w:rFonts w:ascii="Arial" w:hAnsi="Arial" w:cs="Arial"/>
          <w:bCs/>
          <w:iCs/>
          <w:sz w:val="22"/>
          <w:szCs w:val="22"/>
          <w:lang w:val="uk-UA"/>
        </w:rPr>
      </w:pPr>
      <w:r w:rsidRPr="0077389F">
        <w:rPr>
          <w:rFonts w:ascii="Arial" w:hAnsi="Arial" w:cs="Arial"/>
          <w:bCs/>
          <w:iCs/>
          <w:sz w:val="22"/>
          <w:szCs w:val="22"/>
          <w:lang w:val="uk-UA"/>
        </w:rPr>
        <w:t>(сертифікат А 000023</w:t>
      </w:r>
    </w:p>
    <w:p w:rsidR="0077389F" w:rsidRPr="0077389F" w:rsidRDefault="0077389F" w:rsidP="0077389F">
      <w:pPr>
        <w:widowControl w:val="0"/>
        <w:tabs>
          <w:tab w:val="left" w:pos="708"/>
          <w:tab w:val="center" w:pos="4819"/>
          <w:tab w:val="right" w:pos="9639"/>
        </w:tabs>
        <w:autoSpaceDE w:val="0"/>
        <w:autoSpaceDN w:val="0"/>
        <w:ind w:left="567"/>
        <w:jc w:val="both"/>
        <w:rPr>
          <w:rFonts w:ascii="Arial" w:hAnsi="Arial" w:cs="Arial"/>
          <w:bCs/>
          <w:iCs/>
          <w:sz w:val="22"/>
          <w:szCs w:val="22"/>
          <w:lang w:val="uk-UA"/>
        </w:rPr>
      </w:pPr>
      <w:r w:rsidRPr="0077389F">
        <w:rPr>
          <w:rFonts w:ascii="Arial" w:hAnsi="Arial" w:cs="Arial"/>
          <w:bCs/>
          <w:iCs/>
          <w:sz w:val="22"/>
          <w:szCs w:val="22"/>
          <w:lang w:val="uk-UA"/>
        </w:rPr>
        <w:t>продовжений рішенням АПУ</w:t>
      </w:r>
    </w:p>
    <w:p w:rsidR="0077389F" w:rsidRPr="0077389F" w:rsidRDefault="0077389F" w:rsidP="0077389F">
      <w:pPr>
        <w:widowControl w:val="0"/>
        <w:tabs>
          <w:tab w:val="left" w:pos="708"/>
          <w:tab w:val="center" w:pos="4819"/>
          <w:tab w:val="right" w:pos="9639"/>
        </w:tabs>
        <w:autoSpaceDE w:val="0"/>
        <w:autoSpaceDN w:val="0"/>
        <w:ind w:left="567"/>
        <w:jc w:val="both"/>
        <w:rPr>
          <w:rFonts w:ascii="Arial" w:hAnsi="Arial" w:cs="Arial"/>
          <w:bCs/>
          <w:iCs/>
          <w:sz w:val="22"/>
          <w:szCs w:val="22"/>
          <w:lang w:val="uk-UA"/>
        </w:rPr>
      </w:pPr>
      <w:r w:rsidRPr="0077389F">
        <w:rPr>
          <w:rFonts w:ascii="Arial" w:hAnsi="Arial" w:cs="Arial"/>
          <w:bCs/>
          <w:iCs/>
          <w:sz w:val="22"/>
          <w:szCs w:val="22"/>
          <w:lang w:val="uk-UA"/>
        </w:rPr>
        <w:t>від 2</w:t>
      </w:r>
      <w:r w:rsidRPr="0077389F">
        <w:rPr>
          <w:rFonts w:ascii="Arial" w:hAnsi="Arial" w:cs="Arial"/>
          <w:bCs/>
          <w:iCs/>
          <w:sz w:val="22"/>
          <w:szCs w:val="22"/>
        </w:rPr>
        <w:t>7</w:t>
      </w:r>
      <w:r w:rsidRPr="0077389F">
        <w:rPr>
          <w:rFonts w:ascii="Arial" w:hAnsi="Arial" w:cs="Arial"/>
          <w:bCs/>
          <w:iCs/>
          <w:sz w:val="22"/>
          <w:szCs w:val="22"/>
          <w:lang w:val="uk-UA"/>
        </w:rPr>
        <w:t>.1</w:t>
      </w:r>
      <w:r w:rsidRPr="0077389F">
        <w:rPr>
          <w:rFonts w:ascii="Arial" w:hAnsi="Arial" w:cs="Arial"/>
          <w:bCs/>
          <w:iCs/>
          <w:sz w:val="22"/>
          <w:szCs w:val="22"/>
        </w:rPr>
        <w:t>0</w:t>
      </w:r>
      <w:r w:rsidRPr="0077389F">
        <w:rPr>
          <w:rFonts w:ascii="Arial" w:hAnsi="Arial" w:cs="Arial"/>
          <w:bCs/>
          <w:iCs/>
          <w:sz w:val="22"/>
          <w:szCs w:val="22"/>
          <w:lang w:val="uk-UA"/>
        </w:rPr>
        <w:t>.201</w:t>
      </w:r>
      <w:r w:rsidRPr="0077389F">
        <w:rPr>
          <w:rFonts w:ascii="Arial" w:hAnsi="Arial" w:cs="Arial"/>
          <w:bCs/>
          <w:iCs/>
          <w:sz w:val="22"/>
          <w:szCs w:val="22"/>
        </w:rPr>
        <w:t>7</w:t>
      </w:r>
      <w:r w:rsidRPr="0077389F">
        <w:rPr>
          <w:rFonts w:ascii="Arial" w:hAnsi="Arial" w:cs="Arial"/>
          <w:bCs/>
          <w:iCs/>
          <w:sz w:val="22"/>
          <w:szCs w:val="22"/>
          <w:lang w:val="uk-UA"/>
        </w:rPr>
        <w:t xml:space="preserve"> №</w:t>
      </w:r>
      <w:r w:rsidRPr="0077389F">
        <w:rPr>
          <w:rFonts w:ascii="Arial" w:hAnsi="Arial" w:cs="Arial"/>
          <w:bCs/>
          <w:iCs/>
          <w:sz w:val="22"/>
          <w:szCs w:val="22"/>
        </w:rPr>
        <w:t>35</w:t>
      </w:r>
      <w:r w:rsidRPr="0077389F">
        <w:rPr>
          <w:rFonts w:ascii="Arial" w:hAnsi="Arial" w:cs="Arial"/>
          <w:bCs/>
          <w:iCs/>
          <w:sz w:val="22"/>
          <w:szCs w:val="22"/>
          <w:lang w:val="uk-UA"/>
        </w:rPr>
        <w:t>1/2)</w:t>
      </w:r>
    </w:p>
    <w:p w:rsidR="0077389F" w:rsidRPr="0077389F" w:rsidRDefault="0077389F" w:rsidP="0077389F">
      <w:pPr>
        <w:ind w:left="567"/>
        <w:jc w:val="both"/>
        <w:rPr>
          <w:rFonts w:ascii="Arial" w:eastAsia="Calibri" w:hAnsi="Arial" w:cs="Arial"/>
          <w:sz w:val="22"/>
          <w:szCs w:val="22"/>
          <w:lang w:val="uk-UA" w:eastAsia="en-US"/>
        </w:rPr>
      </w:pPr>
    </w:p>
    <w:p w:rsidR="0077389F" w:rsidRPr="0077389F" w:rsidRDefault="0077389F" w:rsidP="0077389F">
      <w:pPr>
        <w:ind w:left="567"/>
        <w:jc w:val="both"/>
        <w:rPr>
          <w:rFonts w:ascii="Arial" w:eastAsia="Calibri" w:hAnsi="Arial" w:cs="Arial"/>
          <w:sz w:val="22"/>
          <w:szCs w:val="22"/>
          <w:lang w:val="uk-UA" w:eastAsia="en-US"/>
        </w:rPr>
      </w:pPr>
      <w:r w:rsidRPr="0077389F">
        <w:rPr>
          <w:rFonts w:ascii="Arial" w:eastAsia="Calibri" w:hAnsi="Arial" w:cs="Arial"/>
          <w:bCs/>
          <w:iCs/>
          <w:sz w:val="22"/>
          <w:szCs w:val="22"/>
          <w:lang w:val="uk-UA" w:eastAsia="en-US"/>
        </w:rPr>
        <w:t xml:space="preserve">Адреса аудитора - </w:t>
      </w:r>
      <w:smartTag w:uri="urn:schemas-microsoft-com:office:smarttags" w:element="metricconverter">
        <w:smartTagPr>
          <w:attr w:name="ProductID" w:val="76018 м"/>
        </w:smartTagPr>
        <w:r w:rsidRPr="0077389F">
          <w:rPr>
            <w:rFonts w:ascii="Arial" w:eastAsia="Calibri" w:hAnsi="Arial" w:cs="Arial"/>
            <w:bCs/>
            <w:iCs/>
            <w:sz w:val="22"/>
            <w:szCs w:val="22"/>
            <w:lang w:val="uk-UA" w:eastAsia="en-US"/>
          </w:rPr>
          <w:t>76018 м</w:t>
        </w:r>
      </w:smartTag>
      <w:r w:rsidRPr="0077389F">
        <w:rPr>
          <w:rFonts w:ascii="Arial" w:eastAsia="Calibri" w:hAnsi="Arial" w:cs="Arial"/>
          <w:bCs/>
          <w:iCs/>
          <w:sz w:val="22"/>
          <w:szCs w:val="22"/>
          <w:lang w:val="uk-UA" w:eastAsia="en-US"/>
        </w:rPr>
        <w:t>. Івано-Франківськ, вул. Б.Лепкого буд. 34., офіс 1</w:t>
      </w:r>
    </w:p>
    <w:p w:rsidR="0077389F" w:rsidRPr="0077389F" w:rsidRDefault="0077389F" w:rsidP="0077389F">
      <w:pPr>
        <w:ind w:left="567"/>
        <w:jc w:val="both"/>
        <w:rPr>
          <w:rFonts w:ascii="Arial" w:eastAsia="Calibri" w:hAnsi="Arial" w:cs="Arial"/>
          <w:sz w:val="22"/>
          <w:szCs w:val="22"/>
          <w:lang w:val="uk-UA" w:eastAsia="en-US"/>
        </w:rPr>
      </w:pPr>
    </w:p>
    <w:p w:rsidR="001D5C95" w:rsidRPr="00EB224E" w:rsidRDefault="00B35CE1" w:rsidP="0077389F">
      <w:pPr>
        <w:ind w:left="567"/>
        <w:jc w:val="both"/>
      </w:pPr>
      <w:r>
        <w:rPr>
          <w:rFonts w:ascii="Arial" w:eastAsia="Calibri" w:hAnsi="Arial" w:cs="Arial"/>
          <w:sz w:val="22"/>
          <w:szCs w:val="22"/>
          <w:lang w:val="uk-UA" w:eastAsia="en-US"/>
        </w:rPr>
        <w:t>Дата звіту аудитора - 16 квітня</w:t>
      </w:r>
      <w:r w:rsidR="0077389F" w:rsidRPr="0077389F">
        <w:rPr>
          <w:rFonts w:ascii="Arial" w:eastAsia="Calibri" w:hAnsi="Arial" w:cs="Arial"/>
          <w:sz w:val="22"/>
          <w:szCs w:val="22"/>
          <w:lang w:val="uk-UA" w:eastAsia="en-US"/>
        </w:rPr>
        <w:t xml:space="preserve"> 2018 р.</w:t>
      </w:r>
    </w:p>
    <w:sectPr w:rsidR="001D5C95" w:rsidRPr="00EB224E" w:rsidSect="00CB469A">
      <w:footerReference w:type="default" r:id="rId9"/>
      <w:headerReference w:type="first" r:id="rId10"/>
      <w:footerReference w:type="first" r:id="rId11"/>
      <w:pgSz w:w="11906" w:h="16838" w:code="9"/>
      <w:pgMar w:top="567" w:right="851" w:bottom="567" w:left="1418" w:header="709"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06" w:rsidRDefault="00D93E06" w:rsidP="00D65B8E">
      <w:r>
        <w:separator/>
      </w:r>
    </w:p>
  </w:endnote>
  <w:endnote w:type="continuationSeparator" w:id="0">
    <w:p w:rsidR="00D93E06" w:rsidRDefault="00D93E06" w:rsidP="00D6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90" w:rsidRPr="007B5B90" w:rsidRDefault="007B5B90">
    <w:pPr>
      <w:pStyle w:val="a6"/>
      <w:jc w:val="right"/>
      <w:rPr>
        <w:rFonts w:ascii="Arial" w:hAnsi="Arial" w:cs="Arial"/>
        <w:sz w:val="20"/>
      </w:rPr>
    </w:pPr>
    <w:r w:rsidRPr="007B5B90">
      <w:rPr>
        <w:rFonts w:ascii="Arial" w:hAnsi="Arial" w:cs="Arial"/>
        <w:sz w:val="20"/>
      </w:rPr>
      <w:fldChar w:fldCharType="begin"/>
    </w:r>
    <w:r w:rsidRPr="007B5B90">
      <w:rPr>
        <w:rFonts w:ascii="Arial" w:hAnsi="Arial" w:cs="Arial"/>
        <w:sz w:val="20"/>
      </w:rPr>
      <w:instrText>PAGE   \* MERGEFORMAT</w:instrText>
    </w:r>
    <w:r w:rsidRPr="007B5B90">
      <w:rPr>
        <w:rFonts w:ascii="Arial" w:hAnsi="Arial" w:cs="Arial"/>
        <w:sz w:val="20"/>
      </w:rPr>
      <w:fldChar w:fldCharType="separate"/>
    </w:r>
    <w:r w:rsidR="001B24DB" w:rsidRPr="001B24DB">
      <w:rPr>
        <w:rFonts w:ascii="Arial" w:hAnsi="Arial" w:cs="Arial"/>
        <w:noProof/>
        <w:sz w:val="20"/>
        <w:lang w:val="uk-UA"/>
      </w:rPr>
      <w:t>3</w:t>
    </w:r>
    <w:r w:rsidRPr="007B5B90">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8E" w:rsidRDefault="00D65B8E" w:rsidP="00D65B8E">
    <w:pPr>
      <w:rPr>
        <w:sz w:val="20"/>
        <w:szCs w:val="20"/>
        <w:lang w:val="uk-UA"/>
      </w:rPr>
    </w:pPr>
    <w:r>
      <w:rPr>
        <w:sz w:val="20"/>
        <w:szCs w:val="20"/>
        <w:lang w:val="uk-UA"/>
      </w:rPr>
      <w:t>________________________________________________________________________________________________</w:t>
    </w:r>
  </w:p>
  <w:p w:rsidR="00D65B8E" w:rsidRPr="004E4D44" w:rsidRDefault="00D65B8E" w:rsidP="00D65B8E">
    <w:pPr>
      <w:rPr>
        <w:b/>
        <w:sz w:val="20"/>
        <w:szCs w:val="20"/>
        <w:lang w:val="uk-UA"/>
      </w:rPr>
    </w:pPr>
    <w:r w:rsidRPr="004E4D44">
      <w:rPr>
        <w:b/>
        <w:sz w:val="20"/>
        <w:szCs w:val="20"/>
        <w:lang w:val="uk-UA"/>
      </w:rPr>
      <w:t>76018</w:t>
    </w:r>
    <w:r>
      <w:rPr>
        <w:b/>
        <w:sz w:val="20"/>
        <w:szCs w:val="20"/>
        <w:lang w:val="uk-UA"/>
      </w:rPr>
      <w:t>,</w:t>
    </w:r>
    <w:r w:rsidRPr="004E4D44">
      <w:rPr>
        <w:b/>
        <w:sz w:val="20"/>
        <w:szCs w:val="20"/>
        <w:lang w:val="uk-UA"/>
      </w:rPr>
      <w:t xml:space="preserve"> м. Івано-Франківськ, ву</w:t>
    </w:r>
    <w:r>
      <w:rPr>
        <w:b/>
        <w:sz w:val="20"/>
        <w:szCs w:val="20"/>
        <w:lang w:val="uk-UA"/>
      </w:rPr>
      <w:t xml:space="preserve">л. Б.Лепкого, 34/1, тел. </w:t>
    </w:r>
    <w:r w:rsidRPr="004E4D44">
      <w:rPr>
        <w:b/>
        <w:sz w:val="20"/>
        <w:szCs w:val="20"/>
        <w:lang w:val="uk-UA"/>
      </w:rPr>
      <w:t>(0342</w:t>
    </w:r>
    <w:r>
      <w:rPr>
        <w:b/>
        <w:sz w:val="20"/>
        <w:szCs w:val="20"/>
        <w:lang w:val="uk-UA"/>
      </w:rPr>
      <w:t>2</w:t>
    </w:r>
    <w:r w:rsidRPr="004E4D44">
      <w:rPr>
        <w:b/>
        <w:sz w:val="20"/>
        <w:szCs w:val="20"/>
        <w:lang w:val="uk-UA"/>
      </w:rPr>
      <w:t xml:space="preserve">) </w:t>
    </w:r>
    <w:r>
      <w:rPr>
        <w:b/>
        <w:sz w:val="20"/>
        <w:szCs w:val="20"/>
        <w:lang w:val="uk-UA"/>
      </w:rPr>
      <w:t>3-03-34</w:t>
    </w:r>
    <w:r w:rsidRPr="004E4D44">
      <w:rPr>
        <w:b/>
        <w:sz w:val="20"/>
        <w:szCs w:val="20"/>
        <w:lang w:val="uk-UA"/>
      </w:rPr>
      <w:t>,</w:t>
    </w:r>
  </w:p>
  <w:p w:rsidR="00D65B8E" w:rsidRPr="004E4D44" w:rsidRDefault="00D65B8E" w:rsidP="00D65B8E">
    <w:pPr>
      <w:rPr>
        <w:b/>
        <w:sz w:val="20"/>
        <w:szCs w:val="20"/>
        <w:lang w:val="uk-UA"/>
      </w:rPr>
    </w:pPr>
    <w:r w:rsidRPr="004E4D44">
      <w:rPr>
        <w:b/>
        <w:sz w:val="20"/>
        <w:szCs w:val="20"/>
        <w:lang w:val="uk-UA"/>
      </w:rPr>
      <w:t xml:space="preserve">код ЄДРПОУ 34623723, </w:t>
    </w:r>
    <w:r>
      <w:rPr>
        <w:b/>
        <w:sz w:val="20"/>
        <w:szCs w:val="20"/>
        <w:lang w:val="uk-UA"/>
      </w:rPr>
      <w:t xml:space="preserve"> п/р 2600301252063 в ЦФ ПАТ «КРЕДОБАНК», МФО 325365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06" w:rsidRDefault="00D93E06" w:rsidP="00D65B8E">
      <w:r>
        <w:separator/>
      </w:r>
    </w:p>
  </w:footnote>
  <w:footnote w:type="continuationSeparator" w:id="0">
    <w:p w:rsidR="00D93E06" w:rsidRDefault="00D93E06" w:rsidP="00D6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8E" w:rsidRDefault="00D93E06" w:rsidP="00D65B8E">
    <w:pPr>
      <w:pBdr>
        <w:bottom w:val="single" w:sz="12" w:space="1"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4.75pt;height:27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ТОВ &quot;ОРВІ-АУДИТ&quot;"/>
        </v:shape>
      </w:pict>
    </w:r>
  </w:p>
  <w:p w:rsidR="00D65B8E" w:rsidRPr="004E4D44" w:rsidRDefault="00D65B8E" w:rsidP="00D65B8E">
    <w:pPr>
      <w:rPr>
        <w:b/>
        <w:sz w:val="20"/>
        <w:szCs w:val="20"/>
        <w:lang w:val="uk-UA"/>
      </w:rPr>
    </w:pPr>
    <w:r w:rsidRPr="004E4D44">
      <w:rPr>
        <w:b/>
        <w:sz w:val="20"/>
        <w:szCs w:val="20"/>
        <w:lang w:val="uk-UA"/>
      </w:rPr>
      <w:t>Свідоцтво про внесення в Реєстр аудиторських фірм та аудиторів №3917,</w:t>
    </w:r>
    <w:r>
      <w:rPr>
        <w:b/>
        <w:sz w:val="20"/>
        <w:szCs w:val="20"/>
        <w:lang w:val="uk-UA"/>
      </w:rPr>
      <w:br/>
    </w:r>
    <w:r w:rsidRPr="004E4D44">
      <w:rPr>
        <w:b/>
        <w:sz w:val="20"/>
        <w:szCs w:val="20"/>
        <w:lang w:val="uk-UA"/>
      </w:rPr>
      <w:t>видане рішенням АПУ від 21.12.2006р. №169/4</w:t>
    </w:r>
  </w:p>
  <w:p w:rsidR="00D65B8E" w:rsidRPr="00D65B8E" w:rsidRDefault="00D65B8E">
    <w:pPr>
      <w:pStyle w:val="a4"/>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76E23"/>
    <w:multiLevelType w:val="hybridMultilevel"/>
    <w:tmpl w:val="22A6C068"/>
    <w:lvl w:ilvl="0" w:tplc="8954E52A">
      <w:numFmt w:val="bullet"/>
      <w:lvlText w:val="•"/>
      <w:lvlJc w:val="left"/>
      <w:pPr>
        <w:ind w:left="720" w:hanging="360"/>
      </w:pPr>
      <w:rPr>
        <w:rFonts w:ascii="Arial" w:eastAsia="Calibr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41718A"/>
    <w:multiLevelType w:val="hybridMultilevel"/>
    <w:tmpl w:val="0DFE14D6"/>
    <w:lvl w:ilvl="0" w:tplc="0419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664A7100"/>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7D"/>
    <w:rsid w:val="00002EBE"/>
    <w:rsid w:val="000445AC"/>
    <w:rsid w:val="00073342"/>
    <w:rsid w:val="00110900"/>
    <w:rsid w:val="001B24DB"/>
    <w:rsid w:val="001B75EC"/>
    <w:rsid w:val="001D5C95"/>
    <w:rsid w:val="001D7532"/>
    <w:rsid w:val="00227C35"/>
    <w:rsid w:val="002361C8"/>
    <w:rsid w:val="00315479"/>
    <w:rsid w:val="003942C6"/>
    <w:rsid w:val="003D194A"/>
    <w:rsid w:val="00410F90"/>
    <w:rsid w:val="004C3E7D"/>
    <w:rsid w:val="004D59DD"/>
    <w:rsid w:val="004E4D44"/>
    <w:rsid w:val="004E697C"/>
    <w:rsid w:val="00572D80"/>
    <w:rsid w:val="00630DA1"/>
    <w:rsid w:val="007208C3"/>
    <w:rsid w:val="0077389F"/>
    <w:rsid w:val="007B5B90"/>
    <w:rsid w:val="008A7593"/>
    <w:rsid w:val="009D4E5B"/>
    <w:rsid w:val="00A02F85"/>
    <w:rsid w:val="00A4254A"/>
    <w:rsid w:val="00A47DE3"/>
    <w:rsid w:val="00A6183D"/>
    <w:rsid w:val="00B06878"/>
    <w:rsid w:val="00B20B3B"/>
    <w:rsid w:val="00B35CE1"/>
    <w:rsid w:val="00B46925"/>
    <w:rsid w:val="00B72377"/>
    <w:rsid w:val="00B86F0D"/>
    <w:rsid w:val="00BD7038"/>
    <w:rsid w:val="00C71006"/>
    <w:rsid w:val="00CB469A"/>
    <w:rsid w:val="00D10656"/>
    <w:rsid w:val="00D15279"/>
    <w:rsid w:val="00D3791C"/>
    <w:rsid w:val="00D65B8E"/>
    <w:rsid w:val="00D93E06"/>
    <w:rsid w:val="00DD3D48"/>
    <w:rsid w:val="00E62B30"/>
    <w:rsid w:val="00E72A27"/>
    <w:rsid w:val="00EB224E"/>
    <w:rsid w:val="00EB3AEF"/>
    <w:rsid w:val="00EF1B53"/>
    <w:rsid w:val="00F105D7"/>
    <w:rsid w:val="00F2400A"/>
    <w:rsid w:val="00F43029"/>
    <w:rsid w:val="00F63EF9"/>
    <w:rsid w:val="00F81C7D"/>
    <w:rsid w:val="00F92767"/>
    <w:rsid w:val="00FE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0DA1"/>
    <w:rPr>
      <w:rFonts w:ascii="Tahoma" w:hAnsi="Tahoma" w:cs="Tahoma"/>
      <w:sz w:val="16"/>
      <w:szCs w:val="16"/>
    </w:rPr>
  </w:style>
  <w:style w:type="paragraph" w:styleId="a4">
    <w:name w:val="header"/>
    <w:basedOn w:val="a"/>
    <w:link w:val="a5"/>
    <w:uiPriority w:val="99"/>
    <w:rsid w:val="00D65B8E"/>
    <w:pPr>
      <w:tabs>
        <w:tab w:val="center" w:pos="4819"/>
        <w:tab w:val="right" w:pos="9639"/>
      </w:tabs>
    </w:pPr>
  </w:style>
  <w:style w:type="character" w:customStyle="1" w:styleId="a5">
    <w:name w:val="Верхній колонтитул Знак"/>
    <w:link w:val="a4"/>
    <w:uiPriority w:val="99"/>
    <w:rsid w:val="00D65B8E"/>
    <w:rPr>
      <w:sz w:val="24"/>
      <w:szCs w:val="24"/>
      <w:lang w:val="ru-RU" w:eastAsia="ru-RU"/>
    </w:rPr>
  </w:style>
  <w:style w:type="paragraph" w:styleId="a6">
    <w:name w:val="footer"/>
    <w:basedOn w:val="a"/>
    <w:link w:val="a7"/>
    <w:uiPriority w:val="99"/>
    <w:rsid w:val="00D65B8E"/>
    <w:pPr>
      <w:tabs>
        <w:tab w:val="center" w:pos="4819"/>
        <w:tab w:val="right" w:pos="9639"/>
      </w:tabs>
    </w:pPr>
  </w:style>
  <w:style w:type="character" w:customStyle="1" w:styleId="a7">
    <w:name w:val="Нижній колонтитул Знак"/>
    <w:link w:val="a6"/>
    <w:uiPriority w:val="99"/>
    <w:rsid w:val="00D65B8E"/>
    <w:rPr>
      <w:sz w:val="24"/>
      <w:szCs w:val="24"/>
      <w:lang w:val="ru-RU" w:eastAsia="ru-RU"/>
    </w:rPr>
  </w:style>
  <w:style w:type="character" w:styleId="a8">
    <w:name w:val="Hyperlink"/>
    <w:uiPriority w:val="99"/>
    <w:unhideWhenUsed/>
    <w:rsid w:val="00CB469A"/>
    <w:rPr>
      <w:color w:val="0000FF"/>
      <w:u w:val="single"/>
    </w:rPr>
  </w:style>
  <w:style w:type="paragraph" w:styleId="a9">
    <w:name w:val="Body Text"/>
    <w:basedOn w:val="a"/>
    <w:link w:val="aa"/>
    <w:rsid w:val="007B5B90"/>
    <w:pPr>
      <w:jc w:val="both"/>
    </w:pPr>
    <w:rPr>
      <w:rFonts w:ascii="Bookman Old Style" w:hAnsi="Bookman Old Style"/>
      <w:szCs w:val="20"/>
      <w:lang w:val="uk-UA"/>
    </w:rPr>
  </w:style>
  <w:style w:type="character" w:customStyle="1" w:styleId="aa">
    <w:name w:val="Основний текст Знак"/>
    <w:link w:val="a9"/>
    <w:rsid w:val="007B5B90"/>
    <w:rPr>
      <w:rFonts w:ascii="Bookman Old Style" w:hAnsi="Bookman Old Style"/>
      <w:sz w:val="24"/>
      <w:lang w:eastAsia="ru-RU"/>
    </w:rPr>
  </w:style>
  <w:style w:type="paragraph" w:styleId="ab">
    <w:name w:val="Body Text Indent"/>
    <w:basedOn w:val="a"/>
    <w:link w:val="ac"/>
    <w:rsid w:val="0077389F"/>
    <w:pPr>
      <w:spacing w:after="120"/>
      <w:ind w:left="283"/>
    </w:pPr>
  </w:style>
  <w:style w:type="character" w:customStyle="1" w:styleId="ac">
    <w:name w:val="Основний текст з відступом Знак"/>
    <w:link w:val="ab"/>
    <w:rsid w:val="007738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0DA1"/>
    <w:rPr>
      <w:rFonts w:ascii="Tahoma" w:hAnsi="Tahoma" w:cs="Tahoma"/>
      <w:sz w:val="16"/>
      <w:szCs w:val="16"/>
    </w:rPr>
  </w:style>
  <w:style w:type="paragraph" w:styleId="a4">
    <w:name w:val="header"/>
    <w:basedOn w:val="a"/>
    <w:link w:val="a5"/>
    <w:uiPriority w:val="99"/>
    <w:rsid w:val="00D65B8E"/>
    <w:pPr>
      <w:tabs>
        <w:tab w:val="center" w:pos="4819"/>
        <w:tab w:val="right" w:pos="9639"/>
      </w:tabs>
    </w:pPr>
  </w:style>
  <w:style w:type="character" w:customStyle="1" w:styleId="a5">
    <w:name w:val="Верхній колонтитул Знак"/>
    <w:link w:val="a4"/>
    <w:uiPriority w:val="99"/>
    <w:rsid w:val="00D65B8E"/>
    <w:rPr>
      <w:sz w:val="24"/>
      <w:szCs w:val="24"/>
      <w:lang w:val="ru-RU" w:eastAsia="ru-RU"/>
    </w:rPr>
  </w:style>
  <w:style w:type="paragraph" w:styleId="a6">
    <w:name w:val="footer"/>
    <w:basedOn w:val="a"/>
    <w:link w:val="a7"/>
    <w:uiPriority w:val="99"/>
    <w:rsid w:val="00D65B8E"/>
    <w:pPr>
      <w:tabs>
        <w:tab w:val="center" w:pos="4819"/>
        <w:tab w:val="right" w:pos="9639"/>
      </w:tabs>
    </w:pPr>
  </w:style>
  <w:style w:type="character" w:customStyle="1" w:styleId="a7">
    <w:name w:val="Нижній колонтитул Знак"/>
    <w:link w:val="a6"/>
    <w:uiPriority w:val="99"/>
    <w:rsid w:val="00D65B8E"/>
    <w:rPr>
      <w:sz w:val="24"/>
      <w:szCs w:val="24"/>
      <w:lang w:val="ru-RU" w:eastAsia="ru-RU"/>
    </w:rPr>
  </w:style>
  <w:style w:type="character" w:styleId="a8">
    <w:name w:val="Hyperlink"/>
    <w:uiPriority w:val="99"/>
    <w:unhideWhenUsed/>
    <w:rsid w:val="00CB469A"/>
    <w:rPr>
      <w:color w:val="0000FF"/>
      <w:u w:val="single"/>
    </w:rPr>
  </w:style>
  <w:style w:type="paragraph" w:styleId="a9">
    <w:name w:val="Body Text"/>
    <w:basedOn w:val="a"/>
    <w:link w:val="aa"/>
    <w:rsid w:val="007B5B90"/>
    <w:pPr>
      <w:jc w:val="both"/>
    </w:pPr>
    <w:rPr>
      <w:rFonts w:ascii="Bookman Old Style" w:hAnsi="Bookman Old Style"/>
      <w:szCs w:val="20"/>
      <w:lang w:val="uk-UA"/>
    </w:rPr>
  </w:style>
  <w:style w:type="character" w:customStyle="1" w:styleId="aa">
    <w:name w:val="Основний текст Знак"/>
    <w:link w:val="a9"/>
    <w:rsid w:val="007B5B90"/>
    <w:rPr>
      <w:rFonts w:ascii="Bookman Old Style" w:hAnsi="Bookman Old Style"/>
      <w:sz w:val="24"/>
      <w:lang w:eastAsia="ru-RU"/>
    </w:rPr>
  </w:style>
  <w:style w:type="paragraph" w:styleId="ab">
    <w:name w:val="Body Text Indent"/>
    <w:basedOn w:val="a"/>
    <w:link w:val="ac"/>
    <w:rsid w:val="0077389F"/>
    <w:pPr>
      <w:spacing w:after="120"/>
      <w:ind w:left="283"/>
    </w:pPr>
  </w:style>
  <w:style w:type="character" w:customStyle="1" w:styleId="ac">
    <w:name w:val="Основний текст з відступом Знак"/>
    <w:link w:val="ab"/>
    <w:rsid w:val="007738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6F371-E8E1-4D31-81E6-18497A99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985</Words>
  <Characters>5619</Characters>
  <Application>Microsoft Office Word</Application>
  <DocSecurity>0</DocSecurity>
  <Lines>46</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Audit Service</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Lesya</dc:creator>
  <cp:lastModifiedBy>Taras</cp:lastModifiedBy>
  <cp:revision>5</cp:revision>
  <cp:lastPrinted>2015-02-26T09:27:00Z</cp:lastPrinted>
  <dcterms:created xsi:type="dcterms:W3CDTF">2018-04-19T08:22:00Z</dcterms:created>
  <dcterms:modified xsi:type="dcterms:W3CDTF">2018-04-27T08:41:00Z</dcterms:modified>
</cp:coreProperties>
</file>